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A54B" w14:textId="72F45DBF" w:rsidR="00F07C41" w:rsidRPr="00F07C41" w:rsidRDefault="00F07C41" w:rsidP="00F07C41">
      <w:pPr>
        <w:pStyle w:val="NoSpacing"/>
        <w:rPr>
          <w:rFonts w:ascii="Arial" w:hAnsi="Arial" w:cs="Arial"/>
          <w:b/>
          <w:sz w:val="24"/>
          <w:szCs w:val="24"/>
        </w:rPr>
      </w:pPr>
      <w:r w:rsidRPr="00F07C41">
        <w:rPr>
          <w:rFonts w:ascii="Arial" w:hAnsi="Arial" w:cs="Arial"/>
          <w:b/>
          <w:sz w:val="24"/>
          <w:szCs w:val="24"/>
        </w:rPr>
        <w:t>September 12, 2020</w:t>
      </w:r>
    </w:p>
    <w:p w14:paraId="23BD6119" w14:textId="77777777" w:rsidR="00F07C41" w:rsidRDefault="00F07C41" w:rsidP="00F07C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697E5B" w14:textId="2D76CB40" w:rsidR="000A48E2" w:rsidRPr="00F07C41" w:rsidRDefault="00F07C41" w:rsidP="00F07C41">
      <w:pPr>
        <w:pStyle w:val="NoSpacing"/>
        <w:rPr>
          <w:rFonts w:ascii="Arial" w:hAnsi="Arial" w:cs="Arial"/>
          <w:b/>
          <w:sz w:val="24"/>
          <w:szCs w:val="24"/>
        </w:rPr>
      </w:pPr>
      <w:r w:rsidRPr="00F07C41">
        <w:rPr>
          <w:rFonts w:ascii="Arial" w:hAnsi="Arial" w:cs="Arial"/>
          <w:b/>
          <w:sz w:val="24"/>
          <w:szCs w:val="24"/>
        </w:rPr>
        <w:t xml:space="preserve">Utah Medical Association House of Delegates </w:t>
      </w:r>
      <w:r>
        <w:rPr>
          <w:rFonts w:ascii="Arial" w:hAnsi="Arial" w:cs="Arial"/>
          <w:b/>
          <w:sz w:val="24"/>
          <w:szCs w:val="24"/>
        </w:rPr>
        <w:t xml:space="preserve">passes </w:t>
      </w:r>
      <w:r w:rsidR="00517D37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>r</w:t>
      </w:r>
      <w:r w:rsidRPr="00F07C41">
        <w:rPr>
          <w:rFonts w:ascii="Arial" w:hAnsi="Arial" w:cs="Arial"/>
          <w:b/>
          <w:sz w:val="24"/>
          <w:szCs w:val="24"/>
        </w:rPr>
        <w:t xml:space="preserve">esolution </w:t>
      </w:r>
      <w:r>
        <w:rPr>
          <w:rFonts w:ascii="Arial" w:hAnsi="Arial" w:cs="Arial"/>
          <w:b/>
          <w:sz w:val="24"/>
          <w:szCs w:val="24"/>
        </w:rPr>
        <w:t>t</w:t>
      </w:r>
      <w:r w:rsidRPr="00F07C41">
        <w:rPr>
          <w:rFonts w:ascii="Arial" w:hAnsi="Arial" w:cs="Arial"/>
          <w:b/>
          <w:sz w:val="24"/>
          <w:szCs w:val="24"/>
        </w:rPr>
        <w:t xml:space="preserve">itled: </w:t>
      </w:r>
      <w:r w:rsidR="00630BB7" w:rsidRPr="00F07C41">
        <w:rPr>
          <w:rFonts w:ascii="Arial" w:hAnsi="Arial" w:cs="Arial"/>
          <w:b/>
          <w:sz w:val="24"/>
          <w:szCs w:val="24"/>
        </w:rPr>
        <w:t>Non-discrimination Against Osteopathic Physicians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0BB7" w:rsidRPr="00F07C41">
        <w:rPr>
          <w:rFonts w:ascii="Arial" w:hAnsi="Arial" w:cs="Arial"/>
          <w:b/>
          <w:sz w:val="24"/>
          <w:szCs w:val="24"/>
        </w:rPr>
        <w:t>and Osteopathic Medical Students</w:t>
      </w:r>
    </w:p>
    <w:p w14:paraId="5E306455" w14:textId="178C25F6" w:rsidR="000A48E2" w:rsidRPr="00435EB2" w:rsidRDefault="000A48E2" w:rsidP="0052033E">
      <w:pPr>
        <w:spacing w:before="240"/>
        <w:ind w:firstLine="720"/>
        <w:rPr>
          <w:rFonts w:ascii="Arial" w:hAnsi="Arial" w:cs="Arial"/>
          <w:sz w:val="22"/>
          <w:szCs w:val="24"/>
        </w:rPr>
      </w:pPr>
      <w:r w:rsidRPr="00435EB2">
        <w:rPr>
          <w:rFonts w:ascii="Arial" w:hAnsi="Arial" w:cs="Arial"/>
          <w:sz w:val="22"/>
          <w:szCs w:val="24"/>
        </w:rPr>
        <w:t xml:space="preserve">Whereas, </w:t>
      </w:r>
      <w:r w:rsidR="00435EB2" w:rsidRPr="00435EB2">
        <w:rPr>
          <w:rFonts w:ascii="Arial" w:hAnsi="Arial" w:cs="Arial"/>
          <w:color w:val="000000"/>
          <w:sz w:val="22"/>
          <w:szCs w:val="24"/>
        </w:rPr>
        <w:t>osteopathic physicians are licensed to practice the full scope of medicine and surgery in all states, territories, and military services of the United States of America</w:t>
      </w:r>
      <w:r w:rsidRPr="00435EB2">
        <w:rPr>
          <w:rFonts w:ascii="Arial" w:hAnsi="Arial" w:cs="Arial"/>
          <w:sz w:val="22"/>
          <w:szCs w:val="24"/>
        </w:rPr>
        <w:t xml:space="preserve">; and </w:t>
      </w:r>
    </w:p>
    <w:p w14:paraId="0185FD74" w14:textId="007A6CB2" w:rsidR="000A48E2" w:rsidRPr="00435EB2" w:rsidRDefault="000A48E2" w:rsidP="0052033E">
      <w:pPr>
        <w:spacing w:before="240"/>
        <w:ind w:firstLine="720"/>
        <w:rPr>
          <w:rFonts w:ascii="Arial" w:hAnsi="Arial" w:cs="Arial"/>
          <w:sz w:val="22"/>
          <w:szCs w:val="24"/>
        </w:rPr>
      </w:pPr>
      <w:r w:rsidRPr="00435EB2">
        <w:rPr>
          <w:rFonts w:ascii="Arial" w:hAnsi="Arial" w:cs="Arial"/>
          <w:sz w:val="22"/>
          <w:szCs w:val="24"/>
        </w:rPr>
        <w:t xml:space="preserve">Whereas, </w:t>
      </w:r>
      <w:r w:rsidR="00435EB2" w:rsidRPr="00435EB2">
        <w:rPr>
          <w:rFonts w:ascii="Arial" w:hAnsi="Arial" w:cs="Arial"/>
          <w:color w:val="000000"/>
          <w:sz w:val="22"/>
          <w:szCs w:val="24"/>
        </w:rPr>
        <w:t xml:space="preserve">the American Council of Graduate Medical Education has transitioned to the single accreditation system, which no longer restricts or discriminates </w:t>
      </w:r>
      <w:r w:rsidR="006C3A55">
        <w:rPr>
          <w:rFonts w:ascii="Arial" w:hAnsi="Arial" w:cs="Arial"/>
          <w:color w:val="000000"/>
          <w:sz w:val="22"/>
          <w:szCs w:val="24"/>
        </w:rPr>
        <w:t xml:space="preserve">against </w:t>
      </w:r>
      <w:r w:rsidR="00435EB2" w:rsidRPr="00435EB2">
        <w:rPr>
          <w:rFonts w:ascii="Arial" w:hAnsi="Arial" w:cs="Arial"/>
          <w:color w:val="000000"/>
          <w:sz w:val="22"/>
          <w:szCs w:val="24"/>
        </w:rPr>
        <w:t xml:space="preserve">osteopathic medical trainees for </w:t>
      </w:r>
      <w:r w:rsidR="006C3A55">
        <w:rPr>
          <w:rFonts w:ascii="Arial" w:hAnsi="Arial" w:cs="Arial"/>
          <w:color w:val="000000"/>
          <w:sz w:val="22"/>
          <w:szCs w:val="24"/>
        </w:rPr>
        <w:t xml:space="preserve">any </w:t>
      </w:r>
      <w:r w:rsidR="00435EB2" w:rsidRPr="00435EB2">
        <w:rPr>
          <w:rFonts w:ascii="Arial" w:hAnsi="Arial" w:cs="Arial"/>
          <w:color w:val="000000"/>
          <w:sz w:val="22"/>
          <w:szCs w:val="24"/>
        </w:rPr>
        <w:t>of its graduate medical education programs</w:t>
      </w:r>
      <w:r w:rsidRPr="00435EB2">
        <w:rPr>
          <w:rFonts w:ascii="Arial" w:hAnsi="Arial" w:cs="Arial"/>
          <w:sz w:val="22"/>
          <w:szCs w:val="24"/>
        </w:rPr>
        <w:t>; and</w:t>
      </w:r>
    </w:p>
    <w:p w14:paraId="57E7104C" w14:textId="27949C6D" w:rsidR="00630BB7" w:rsidRPr="00435EB2" w:rsidRDefault="00630BB7" w:rsidP="00630BB7">
      <w:pPr>
        <w:spacing w:before="240"/>
        <w:ind w:firstLine="720"/>
        <w:rPr>
          <w:rFonts w:ascii="Arial" w:hAnsi="Arial" w:cs="Arial"/>
          <w:sz w:val="22"/>
          <w:szCs w:val="24"/>
        </w:rPr>
      </w:pPr>
      <w:r w:rsidRPr="00435EB2">
        <w:rPr>
          <w:rFonts w:ascii="Arial" w:hAnsi="Arial" w:cs="Arial"/>
          <w:sz w:val="22"/>
          <w:szCs w:val="24"/>
        </w:rPr>
        <w:t xml:space="preserve">Whereas, </w:t>
      </w:r>
      <w:r w:rsidR="00435EB2" w:rsidRPr="00435EB2">
        <w:rPr>
          <w:rFonts w:ascii="Arial" w:hAnsi="Arial" w:cs="Arial"/>
          <w:color w:val="000000"/>
          <w:sz w:val="22"/>
          <w:szCs w:val="24"/>
        </w:rPr>
        <w:t>the Utah Department of Commerce</w:t>
      </w:r>
      <w:r w:rsidR="006C3A55">
        <w:rPr>
          <w:rFonts w:ascii="Arial" w:hAnsi="Arial" w:cs="Arial"/>
          <w:color w:val="000000"/>
          <w:sz w:val="22"/>
          <w:szCs w:val="24"/>
        </w:rPr>
        <w:t>,</w:t>
      </w:r>
      <w:r w:rsidR="00435EB2" w:rsidRPr="00435EB2">
        <w:rPr>
          <w:rFonts w:ascii="Arial" w:hAnsi="Arial" w:cs="Arial"/>
          <w:color w:val="000000"/>
          <w:sz w:val="22"/>
          <w:szCs w:val="24"/>
        </w:rPr>
        <w:t xml:space="preserve"> Division of Occupational and Professional Licensing grants equivalent licensure and practice rights to physicians with the degree of D.O. or M.D.</w:t>
      </w:r>
      <w:r w:rsidRPr="00435EB2">
        <w:rPr>
          <w:rFonts w:ascii="Arial" w:hAnsi="Arial" w:cs="Arial"/>
          <w:sz w:val="22"/>
          <w:szCs w:val="24"/>
        </w:rPr>
        <w:t>; and</w:t>
      </w:r>
    </w:p>
    <w:p w14:paraId="35E1612D" w14:textId="3AAB0E30" w:rsidR="00630BB7" w:rsidRPr="00435EB2" w:rsidRDefault="00630BB7" w:rsidP="00630BB7">
      <w:pPr>
        <w:spacing w:before="240"/>
        <w:ind w:firstLine="720"/>
        <w:rPr>
          <w:rFonts w:ascii="Arial" w:hAnsi="Arial" w:cs="Arial"/>
          <w:sz w:val="22"/>
          <w:szCs w:val="24"/>
        </w:rPr>
      </w:pPr>
      <w:r w:rsidRPr="00435EB2">
        <w:rPr>
          <w:rFonts w:ascii="Arial" w:hAnsi="Arial" w:cs="Arial"/>
          <w:sz w:val="22"/>
          <w:szCs w:val="24"/>
        </w:rPr>
        <w:t xml:space="preserve">Whereas, </w:t>
      </w:r>
      <w:r w:rsidR="00435EB2" w:rsidRPr="00435EB2">
        <w:rPr>
          <w:rFonts w:ascii="Arial" w:hAnsi="Arial" w:cs="Arial"/>
          <w:color w:val="000000"/>
          <w:sz w:val="22"/>
          <w:szCs w:val="24"/>
        </w:rPr>
        <w:t>osteopathic physicians are granted full medical staff privileges in all hospital systems in the state of Utah</w:t>
      </w:r>
      <w:r w:rsidRPr="00435EB2">
        <w:rPr>
          <w:rFonts w:ascii="Arial" w:hAnsi="Arial" w:cs="Arial"/>
          <w:sz w:val="22"/>
          <w:szCs w:val="24"/>
        </w:rPr>
        <w:t>; and</w:t>
      </w:r>
    </w:p>
    <w:p w14:paraId="58A939D8" w14:textId="0803E125" w:rsidR="00435EB2" w:rsidRPr="00435EB2" w:rsidRDefault="00435EB2" w:rsidP="00435EB2">
      <w:pPr>
        <w:spacing w:before="100" w:beforeAutospacing="1" w:after="100" w:afterAutospacing="1"/>
        <w:ind w:firstLine="720"/>
        <w:rPr>
          <w:rFonts w:ascii="Arial" w:hAnsi="Arial" w:cs="Arial"/>
          <w:color w:val="000000"/>
          <w:sz w:val="22"/>
          <w:szCs w:val="24"/>
        </w:rPr>
      </w:pPr>
      <w:r w:rsidRPr="00435EB2">
        <w:rPr>
          <w:rFonts w:ascii="Arial" w:hAnsi="Arial" w:cs="Arial"/>
          <w:color w:val="000000"/>
          <w:sz w:val="22"/>
          <w:szCs w:val="24"/>
        </w:rPr>
        <w:t xml:space="preserve">Whereas, the Utah Medical Association </w:t>
      </w:r>
      <w:r w:rsidR="00F07C41">
        <w:rPr>
          <w:rFonts w:ascii="Arial" w:hAnsi="Arial" w:cs="Arial"/>
          <w:color w:val="000000"/>
          <w:sz w:val="22"/>
          <w:szCs w:val="24"/>
        </w:rPr>
        <w:t xml:space="preserve">(UMA) </w:t>
      </w:r>
      <w:r w:rsidRPr="00435EB2">
        <w:rPr>
          <w:rFonts w:ascii="Arial" w:hAnsi="Arial" w:cs="Arial"/>
          <w:color w:val="000000"/>
          <w:sz w:val="22"/>
          <w:szCs w:val="24"/>
        </w:rPr>
        <w:t>extends equivalent membership privileges to osteopathic physicians and osteopathic medical students in their respective membership categories</w:t>
      </w:r>
      <w:r w:rsidRPr="00435EB2">
        <w:rPr>
          <w:rFonts w:ascii="Arial" w:hAnsi="Arial" w:cs="Arial"/>
          <w:sz w:val="22"/>
          <w:szCs w:val="24"/>
        </w:rPr>
        <w:t>; and</w:t>
      </w:r>
      <w:r w:rsidRPr="00435EB2">
        <w:rPr>
          <w:rFonts w:ascii="Arial" w:hAnsi="Arial" w:cs="Arial"/>
          <w:color w:val="000000"/>
          <w:sz w:val="22"/>
          <w:szCs w:val="24"/>
        </w:rPr>
        <w:t xml:space="preserve">   </w:t>
      </w:r>
    </w:p>
    <w:p w14:paraId="6F1CF3AD" w14:textId="45F5C8AC" w:rsidR="00435EB2" w:rsidRPr="00435EB2" w:rsidRDefault="00435EB2" w:rsidP="00435EB2">
      <w:pPr>
        <w:shd w:val="clear" w:color="auto" w:fill="FFFFFF"/>
        <w:spacing w:before="120" w:after="120"/>
        <w:ind w:firstLine="720"/>
        <w:rPr>
          <w:rFonts w:ascii="Arial" w:hAnsi="Arial" w:cs="Arial"/>
          <w:color w:val="000000"/>
          <w:sz w:val="22"/>
          <w:szCs w:val="24"/>
        </w:rPr>
      </w:pPr>
      <w:r w:rsidRPr="00435EB2">
        <w:rPr>
          <w:rFonts w:ascii="Arial" w:hAnsi="Arial" w:cs="Arial"/>
          <w:color w:val="202122"/>
          <w:sz w:val="22"/>
          <w:szCs w:val="24"/>
        </w:rPr>
        <w:t>Whereas, the American Medical Association’s adopted p</w:t>
      </w:r>
      <w:r w:rsidRPr="00435EB2">
        <w:rPr>
          <w:rFonts w:ascii="Arial" w:hAnsi="Arial" w:cs="Arial"/>
          <w:color w:val="000000"/>
          <w:sz w:val="22"/>
          <w:szCs w:val="24"/>
        </w:rPr>
        <w:t>olicy</w:t>
      </w:r>
      <w:r w:rsidRPr="00F07C41">
        <w:rPr>
          <w:rFonts w:ascii="Arial" w:hAnsi="Arial" w:cs="Arial"/>
          <w:b/>
          <w:color w:val="000000"/>
          <w:sz w:val="22"/>
          <w:szCs w:val="24"/>
          <w:vertAlign w:val="superscript"/>
        </w:rPr>
        <w:t>1</w:t>
      </w:r>
      <w:r w:rsidRPr="00F07C41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435EB2">
        <w:rPr>
          <w:rFonts w:ascii="Arial" w:hAnsi="Arial" w:cs="Arial"/>
          <w:color w:val="000000"/>
          <w:sz w:val="22"/>
          <w:szCs w:val="24"/>
        </w:rPr>
        <w:t>states, “Our AMA, in collaboration with the American Osteopathic Association, discourages discrimination against medical students by institutions and programs based on osteopathic or allopathic training.”</w:t>
      </w:r>
      <w:r w:rsidRPr="00435EB2">
        <w:rPr>
          <w:rFonts w:ascii="Arial" w:hAnsi="Arial" w:cs="Arial"/>
          <w:sz w:val="22"/>
          <w:szCs w:val="24"/>
        </w:rPr>
        <w:t>; and</w:t>
      </w:r>
    </w:p>
    <w:p w14:paraId="44BD1661" w14:textId="707EA234" w:rsidR="00435EB2" w:rsidRPr="00435EB2" w:rsidRDefault="00435EB2" w:rsidP="00435EB2">
      <w:pPr>
        <w:spacing w:before="100" w:beforeAutospacing="1" w:after="100" w:afterAutospacing="1"/>
        <w:ind w:firstLine="720"/>
        <w:rPr>
          <w:rFonts w:ascii="Arial" w:hAnsi="Arial" w:cs="Arial"/>
          <w:color w:val="000000"/>
          <w:sz w:val="22"/>
          <w:szCs w:val="24"/>
        </w:rPr>
      </w:pPr>
      <w:r w:rsidRPr="00435EB2">
        <w:rPr>
          <w:rFonts w:ascii="Arial" w:hAnsi="Arial" w:cs="Arial"/>
          <w:color w:val="000000"/>
          <w:sz w:val="22"/>
          <w:szCs w:val="24"/>
        </w:rPr>
        <w:t>Whereas, the state of Utah has at least one college of osteopathic medicine in the state</w:t>
      </w:r>
      <w:r w:rsidRPr="00435EB2">
        <w:rPr>
          <w:rFonts w:ascii="Arial" w:hAnsi="Arial" w:cs="Arial"/>
          <w:sz w:val="22"/>
          <w:szCs w:val="24"/>
        </w:rPr>
        <w:t>; and</w:t>
      </w:r>
      <w:r w:rsidRPr="00435EB2">
        <w:rPr>
          <w:rFonts w:ascii="Arial" w:hAnsi="Arial" w:cs="Arial"/>
          <w:color w:val="000000"/>
          <w:sz w:val="22"/>
          <w:szCs w:val="24"/>
        </w:rPr>
        <w:t xml:space="preserve">  </w:t>
      </w:r>
    </w:p>
    <w:p w14:paraId="4F4C0C99" w14:textId="460DD8C2" w:rsidR="00435EB2" w:rsidRPr="00435EB2" w:rsidRDefault="00435EB2" w:rsidP="00435EB2">
      <w:pPr>
        <w:spacing w:before="100" w:beforeAutospacing="1" w:after="100" w:afterAutospacing="1"/>
        <w:ind w:firstLine="720"/>
        <w:rPr>
          <w:rFonts w:ascii="Arial" w:hAnsi="Arial" w:cs="Arial"/>
          <w:color w:val="000000"/>
          <w:sz w:val="22"/>
          <w:szCs w:val="24"/>
        </w:rPr>
      </w:pPr>
      <w:r w:rsidRPr="00435EB2">
        <w:rPr>
          <w:rFonts w:ascii="Arial" w:hAnsi="Arial" w:cs="Arial"/>
          <w:color w:val="000000"/>
          <w:sz w:val="22"/>
          <w:szCs w:val="24"/>
        </w:rPr>
        <w:t xml:space="preserve">Whereas, the House of Delegates of the Utah Medical Association is composed of delegates </w:t>
      </w:r>
      <w:r w:rsidR="00697A64">
        <w:rPr>
          <w:rFonts w:ascii="Arial" w:hAnsi="Arial" w:cs="Arial"/>
          <w:color w:val="000000"/>
          <w:sz w:val="22"/>
          <w:szCs w:val="24"/>
        </w:rPr>
        <w:t xml:space="preserve">that include </w:t>
      </w:r>
      <w:r w:rsidRPr="00435EB2">
        <w:rPr>
          <w:rFonts w:ascii="Arial" w:hAnsi="Arial" w:cs="Arial"/>
          <w:color w:val="000000"/>
          <w:sz w:val="22"/>
          <w:szCs w:val="24"/>
        </w:rPr>
        <w:t>osteopathic physicians and osteopathic medical students</w:t>
      </w:r>
      <w:r w:rsidRPr="00435EB2">
        <w:rPr>
          <w:rFonts w:ascii="Arial" w:hAnsi="Arial" w:cs="Arial"/>
          <w:sz w:val="22"/>
          <w:szCs w:val="24"/>
        </w:rPr>
        <w:t xml:space="preserve">; </w:t>
      </w:r>
      <w:r w:rsidR="00995F48">
        <w:rPr>
          <w:rFonts w:ascii="Arial" w:hAnsi="Arial" w:cs="Arial"/>
          <w:sz w:val="22"/>
          <w:szCs w:val="24"/>
        </w:rPr>
        <w:t>therefore,</w:t>
      </w:r>
      <w:r w:rsidR="003069B4">
        <w:rPr>
          <w:rFonts w:ascii="Arial" w:hAnsi="Arial" w:cs="Arial"/>
          <w:sz w:val="22"/>
          <w:szCs w:val="24"/>
        </w:rPr>
        <w:t xml:space="preserve"> be it</w:t>
      </w:r>
      <w:r w:rsidRPr="00435EB2">
        <w:rPr>
          <w:rFonts w:ascii="Arial" w:hAnsi="Arial" w:cs="Arial"/>
          <w:color w:val="000000"/>
          <w:sz w:val="22"/>
          <w:szCs w:val="24"/>
        </w:rPr>
        <w:t xml:space="preserve">  </w:t>
      </w:r>
    </w:p>
    <w:p w14:paraId="581E9760" w14:textId="22EE9A79" w:rsidR="00435EB2" w:rsidRDefault="000A48E2" w:rsidP="00435EB2">
      <w:pPr>
        <w:spacing w:before="240"/>
        <w:ind w:firstLine="720"/>
        <w:rPr>
          <w:rFonts w:ascii="Arial" w:hAnsi="Arial" w:cs="Arial"/>
          <w:sz w:val="22"/>
          <w:szCs w:val="24"/>
        </w:rPr>
      </w:pPr>
      <w:r w:rsidRPr="00435EB2">
        <w:rPr>
          <w:rFonts w:ascii="Arial" w:hAnsi="Arial" w:cs="Arial"/>
          <w:sz w:val="22"/>
          <w:szCs w:val="24"/>
        </w:rPr>
        <w:t xml:space="preserve">RESOLVED, </w:t>
      </w:r>
      <w:r w:rsidR="00CB400A" w:rsidRPr="00435EB2">
        <w:rPr>
          <w:rFonts w:ascii="Arial" w:hAnsi="Arial" w:cs="Arial"/>
          <w:sz w:val="22"/>
          <w:szCs w:val="24"/>
        </w:rPr>
        <w:t>t</w:t>
      </w:r>
      <w:r w:rsidR="00995F48">
        <w:rPr>
          <w:rFonts w:ascii="Arial" w:hAnsi="Arial" w:cs="Arial"/>
          <w:sz w:val="22"/>
          <w:szCs w:val="24"/>
        </w:rPr>
        <w:t xml:space="preserve">hat the UMA denounce </w:t>
      </w:r>
      <w:r w:rsidR="00630BB7" w:rsidRPr="00435EB2">
        <w:rPr>
          <w:rFonts w:ascii="Arial" w:hAnsi="Arial" w:cs="Arial"/>
          <w:sz w:val="22"/>
          <w:szCs w:val="24"/>
        </w:rPr>
        <w:t>discriminatory acts or behavior against physicians or medical students</w:t>
      </w:r>
      <w:r w:rsidR="00995F48">
        <w:rPr>
          <w:rFonts w:ascii="Arial" w:hAnsi="Arial" w:cs="Arial"/>
          <w:sz w:val="22"/>
          <w:szCs w:val="24"/>
        </w:rPr>
        <w:t xml:space="preserve"> solely based on osteopathic or allopathic training, </w:t>
      </w:r>
      <w:r w:rsidRPr="00435EB2">
        <w:rPr>
          <w:rFonts w:ascii="Arial" w:hAnsi="Arial" w:cs="Arial"/>
          <w:sz w:val="22"/>
          <w:szCs w:val="24"/>
        </w:rPr>
        <w:t>and be it further</w:t>
      </w:r>
    </w:p>
    <w:p w14:paraId="787BDE52" w14:textId="77777777" w:rsidR="00435EB2" w:rsidRDefault="00435EB2" w:rsidP="00630BB7">
      <w:pPr>
        <w:ind w:firstLine="720"/>
        <w:rPr>
          <w:rFonts w:ascii="Arial" w:hAnsi="Arial" w:cs="Arial"/>
          <w:sz w:val="22"/>
          <w:szCs w:val="24"/>
        </w:rPr>
      </w:pPr>
    </w:p>
    <w:p w14:paraId="4B58EF63" w14:textId="0383D8C0" w:rsidR="000A48E2" w:rsidRPr="00435EB2" w:rsidRDefault="000A48E2" w:rsidP="00630BB7">
      <w:pPr>
        <w:ind w:firstLine="720"/>
        <w:rPr>
          <w:rFonts w:ascii="Arial" w:hAnsi="Arial" w:cs="Arial"/>
          <w:sz w:val="22"/>
          <w:szCs w:val="24"/>
        </w:rPr>
      </w:pPr>
      <w:r w:rsidRPr="00435EB2">
        <w:rPr>
          <w:rFonts w:ascii="Arial" w:hAnsi="Arial" w:cs="Arial"/>
          <w:sz w:val="22"/>
          <w:szCs w:val="24"/>
        </w:rPr>
        <w:t xml:space="preserve">RESOLVED, </w:t>
      </w:r>
      <w:r w:rsidR="00CB400A" w:rsidRPr="00435EB2">
        <w:rPr>
          <w:rFonts w:ascii="Arial" w:hAnsi="Arial" w:cs="Arial"/>
          <w:sz w:val="22"/>
          <w:szCs w:val="24"/>
        </w:rPr>
        <w:t>t</w:t>
      </w:r>
      <w:r w:rsidR="00630BB7" w:rsidRPr="00435EB2">
        <w:rPr>
          <w:rFonts w:ascii="Arial" w:hAnsi="Arial" w:cs="Arial"/>
          <w:sz w:val="22"/>
          <w:szCs w:val="24"/>
        </w:rPr>
        <w:t>hat the UMA adopt a non-discrimination position s</w:t>
      </w:r>
      <w:r w:rsidR="00995F48">
        <w:rPr>
          <w:rFonts w:ascii="Arial" w:hAnsi="Arial" w:cs="Arial"/>
          <w:sz w:val="22"/>
          <w:szCs w:val="24"/>
        </w:rPr>
        <w:t>tatement or policy that denounces</w:t>
      </w:r>
      <w:r w:rsidR="00630BB7" w:rsidRPr="00435EB2">
        <w:rPr>
          <w:rFonts w:ascii="Arial" w:hAnsi="Arial" w:cs="Arial"/>
          <w:sz w:val="22"/>
          <w:szCs w:val="24"/>
        </w:rPr>
        <w:t xml:space="preserve"> discrimination, harassment, or retaliation against any physician or medical student based solely on their osteopathic </w:t>
      </w:r>
      <w:r w:rsidR="00995F48">
        <w:rPr>
          <w:rFonts w:ascii="Arial" w:hAnsi="Arial" w:cs="Arial"/>
          <w:sz w:val="22"/>
          <w:szCs w:val="24"/>
        </w:rPr>
        <w:t xml:space="preserve">or allopathic training. </w:t>
      </w:r>
      <w:r w:rsidR="00630BB7" w:rsidRPr="00435EB2">
        <w:rPr>
          <w:rFonts w:ascii="Arial" w:hAnsi="Arial" w:cs="Arial"/>
          <w:sz w:val="22"/>
          <w:szCs w:val="24"/>
        </w:rPr>
        <w:t xml:space="preserve"> </w:t>
      </w:r>
    </w:p>
    <w:p w14:paraId="65BF4B40" w14:textId="77777777" w:rsidR="00995F48" w:rsidRPr="00630BB7" w:rsidRDefault="00995F48" w:rsidP="0052033E">
      <w:pPr>
        <w:spacing w:line="360" w:lineRule="auto"/>
        <w:rPr>
          <w:rFonts w:ascii="Arial" w:hAnsi="Arial" w:cs="Arial"/>
          <w:sz w:val="24"/>
          <w:szCs w:val="24"/>
        </w:rPr>
      </w:pPr>
    </w:p>
    <w:p w14:paraId="3FFFCF7C" w14:textId="77777777" w:rsidR="00435EB2" w:rsidRPr="00435EB2" w:rsidRDefault="00435EB2" w:rsidP="00435EB2">
      <w:pPr>
        <w:rPr>
          <w:rFonts w:ascii="Arial" w:hAnsi="Arial" w:cs="Arial"/>
          <w:u w:val="single"/>
        </w:rPr>
      </w:pPr>
      <w:r w:rsidRPr="00435EB2">
        <w:rPr>
          <w:rFonts w:ascii="Arial" w:hAnsi="Arial" w:cs="Arial"/>
          <w:u w:val="single"/>
        </w:rPr>
        <w:t xml:space="preserve">References: </w:t>
      </w:r>
    </w:p>
    <w:p w14:paraId="00F043C9" w14:textId="6F44F55E" w:rsidR="00737CBC" w:rsidRPr="001478F7" w:rsidRDefault="00435EB2" w:rsidP="001478F7">
      <w:pPr>
        <w:pStyle w:val="Heading2"/>
        <w:keepNext w:val="0"/>
        <w:numPr>
          <w:ilvl w:val="0"/>
          <w:numId w:val="2"/>
        </w:numPr>
        <w:shd w:val="clear" w:color="auto" w:fill="FFFFFF"/>
        <w:spacing w:after="135"/>
        <w:ind w:firstLine="432"/>
        <w:rPr>
          <w:color w:val="000000"/>
          <w:sz w:val="20"/>
        </w:rPr>
      </w:pPr>
      <w:r w:rsidRPr="003F0632">
        <w:rPr>
          <w:sz w:val="20"/>
        </w:rPr>
        <w:t>AMA Policy H-295.876 Equal Fees for Osteopathic and Allopathic Medical Students</w:t>
      </w:r>
      <w:r w:rsidRPr="00F07C41">
        <w:rPr>
          <w:color w:val="000000"/>
          <w:sz w:val="20"/>
        </w:rPr>
        <w:t xml:space="preserve"> </w:t>
      </w:r>
      <w:r w:rsidR="006C3A55" w:rsidRPr="00F07C41">
        <w:rPr>
          <w:color w:val="000000"/>
          <w:sz w:val="20"/>
        </w:rPr>
        <w:t xml:space="preserve">(available at </w:t>
      </w:r>
      <w:hyperlink r:id="rId10" w:history="1">
        <w:r w:rsidR="003F0632">
          <w:rPr>
            <w:rStyle w:val="Hyperlink"/>
            <w:sz w:val="20"/>
          </w:rPr>
          <w:t>https://policysearch.ama-assn.org/policyfinder/detail/Equal Fees for Osteopathic and Allopathic Medical Students H-295.876?uri=/</w:t>
        </w:r>
        <w:proofErr w:type="spellStart"/>
        <w:r w:rsidR="003F0632">
          <w:rPr>
            <w:rStyle w:val="Hyperlink"/>
            <w:sz w:val="20"/>
          </w:rPr>
          <w:t>AMADoc</w:t>
        </w:r>
        <w:proofErr w:type="spellEnd"/>
        <w:r w:rsidR="003F0632">
          <w:rPr>
            <w:rStyle w:val="Hyperlink"/>
            <w:sz w:val="20"/>
          </w:rPr>
          <w:t>/HOD.xml-0-2175.xml</w:t>
        </w:r>
      </w:hyperlink>
      <w:r w:rsidR="003F0632" w:rsidRPr="00F07C41">
        <w:rPr>
          <w:color w:val="000000"/>
          <w:sz w:val="20"/>
        </w:rPr>
        <w:t>)</w:t>
      </w:r>
    </w:p>
    <w:sectPr w:rsidR="00737CBC" w:rsidRPr="001478F7">
      <w:headerReference w:type="default" r:id="rId11"/>
      <w:footerReference w:type="default" r:id="rId12"/>
      <w:type w:val="continuous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1FDA" w14:textId="77777777" w:rsidR="00775E13" w:rsidRDefault="00775E13">
      <w:r>
        <w:separator/>
      </w:r>
    </w:p>
  </w:endnote>
  <w:endnote w:type="continuationSeparator" w:id="0">
    <w:p w14:paraId="250BA251" w14:textId="77777777" w:rsidR="00775E13" w:rsidRDefault="007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7460" w14:textId="0B13B2B6" w:rsidR="000A48E2" w:rsidRDefault="000A48E2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049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81ED" w14:textId="77777777" w:rsidR="00775E13" w:rsidRDefault="00775E13">
      <w:r>
        <w:separator/>
      </w:r>
    </w:p>
  </w:footnote>
  <w:footnote w:type="continuationSeparator" w:id="0">
    <w:p w14:paraId="1ADB5C6A" w14:textId="77777777" w:rsidR="00775E13" w:rsidRDefault="0077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A98E" w14:textId="731C21B9" w:rsidR="000A48E2" w:rsidRPr="0052033E" w:rsidRDefault="000A48E2">
    <w:pPr>
      <w:jc w:val="right"/>
      <w:rPr>
        <w:rFonts w:ascii="Arial" w:hAnsi="Arial" w:cs="Arial"/>
      </w:rPr>
    </w:pPr>
    <w:r w:rsidRPr="0052033E">
      <w:rPr>
        <w:rFonts w:ascii="Arial" w:hAnsi="Arial" w:cs="Arial"/>
      </w:rPr>
      <w:t xml:space="preserve">Resolution </w:t>
    </w:r>
    <w:r w:rsidR="0081556B">
      <w:rPr>
        <w:rFonts w:ascii="Arial" w:hAnsi="Arial" w:cs="Arial"/>
      </w:rPr>
      <w:t>B1</w:t>
    </w:r>
  </w:p>
  <w:p w14:paraId="1AF0927E" w14:textId="435085D4" w:rsidR="000A48E2" w:rsidRPr="0052033E" w:rsidRDefault="000A48E2">
    <w:pPr>
      <w:jc w:val="right"/>
      <w:rPr>
        <w:rFonts w:ascii="Arial" w:hAnsi="Arial" w:cs="Arial"/>
      </w:rPr>
    </w:pPr>
    <w:r w:rsidRPr="0052033E">
      <w:rPr>
        <w:rFonts w:ascii="Arial" w:hAnsi="Arial" w:cs="Arial"/>
      </w:rPr>
      <w:t>(A-</w:t>
    </w:r>
    <w:r w:rsidR="00214773">
      <w:rPr>
        <w:rFonts w:ascii="Arial" w:hAnsi="Arial" w:cs="Arial"/>
      </w:rPr>
      <w:t>20</w:t>
    </w:r>
    <w:r w:rsidRPr="0052033E">
      <w:rPr>
        <w:rFonts w:ascii="Arial" w:hAnsi="Arial" w:cs="Arial"/>
      </w:rPr>
      <w:t>)</w:t>
    </w:r>
  </w:p>
  <w:p w14:paraId="1A30A073" w14:textId="77777777" w:rsidR="000A48E2" w:rsidRDefault="000A48E2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1E4"/>
    <w:multiLevelType w:val="hybridMultilevel"/>
    <w:tmpl w:val="243A22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24F6D"/>
    <w:multiLevelType w:val="hybridMultilevel"/>
    <w:tmpl w:val="9E5819B0"/>
    <w:lvl w:ilvl="0" w:tplc="DC04FE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16"/>
    <w:rsid w:val="000204EB"/>
    <w:rsid w:val="00044B57"/>
    <w:rsid w:val="000674C0"/>
    <w:rsid w:val="000A48E2"/>
    <w:rsid w:val="000E1E94"/>
    <w:rsid w:val="000E7FC0"/>
    <w:rsid w:val="001457FE"/>
    <w:rsid w:val="001478F7"/>
    <w:rsid w:val="00211B78"/>
    <w:rsid w:val="00214773"/>
    <w:rsid w:val="00220804"/>
    <w:rsid w:val="00292BC6"/>
    <w:rsid w:val="002B3DFE"/>
    <w:rsid w:val="003069B4"/>
    <w:rsid w:val="003B7D9B"/>
    <w:rsid w:val="003F0632"/>
    <w:rsid w:val="00422870"/>
    <w:rsid w:val="00435EB2"/>
    <w:rsid w:val="00443A59"/>
    <w:rsid w:val="004E7CAC"/>
    <w:rsid w:val="00517D37"/>
    <w:rsid w:val="0052033E"/>
    <w:rsid w:val="00530495"/>
    <w:rsid w:val="00533605"/>
    <w:rsid w:val="00536307"/>
    <w:rsid w:val="0055031C"/>
    <w:rsid w:val="00561E71"/>
    <w:rsid w:val="00630BB7"/>
    <w:rsid w:val="00644C41"/>
    <w:rsid w:val="006844FA"/>
    <w:rsid w:val="00697A64"/>
    <w:rsid w:val="006C3A55"/>
    <w:rsid w:val="00704242"/>
    <w:rsid w:val="00720914"/>
    <w:rsid w:val="007332A3"/>
    <w:rsid w:val="00737CBC"/>
    <w:rsid w:val="00775E13"/>
    <w:rsid w:val="00776700"/>
    <w:rsid w:val="007B6716"/>
    <w:rsid w:val="007D48FB"/>
    <w:rsid w:val="0081556B"/>
    <w:rsid w:val="00887E02"/>
    <w:rsid w:val="008B036F"/>
    <w:rsid w:val="00995F48"/>
    <w:rsid w:val="00B03A65"/>
    <w:rsid w:val="00B053D7"/>
    <w:rsid w:val="00BB770D"/>
    <w:rsid w:val="00BF56E9"/>
    <w:rsid w:val="00C3122C"/>
    <w:rsid w:val="00C63E8F"/>
    <w:rsid w:val="00CB400A"/>
    <w:rsid w:val="00CC63F0"/>
    <w:rsid w:val="00D01438"/>
    <w:rsid w:val="00D05D71"/>
    <w:rsid w:val="00D20CC4"/>
    <w:rsid w:val="00D2545A"/>
    <w:rsid w:val="00D44130"/>
    <w:rsid w:val="00D60804"/>
    <w:rsid w:val="00D77D16"/>
    <w:rsid w:val="00D876A7"/>
    <w:rsid w:val="00DC7C2D"/>
    <w:rsid w:val="00E53FAD"/>
    <w:rsid w:val="00EF2841"/>
    <w:rsid w:val="00F07C41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297F8"/>
  <w15:docId w15:val="{E0FFEB04-3532-49E7-B9A2-4790B5B3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left" w:pos="1800"/>
      </w:tabs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72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 w:firstLine="720"/>
    </w:pPr>
    <w:rPr>
      <w:sz w:val="24"/>
    </w:rPr>
  </w:style>
  <w:style w:type="paragraph" w:styleId="BodyTextIndent2">
    <w:name w:val="Body Text Indent 2"/>
    <w:basedOn w:val="Normal"/>
    <w:semiHidden/>
    <w:pPr>
      <w:ind w:firstLine="720"/>
    </w:pPr>
    <w:rPr>
      <w:sz w:val="24"/>
    </w:rPr>
  </w:style>
  <w:style w:type="paragraph" w:styleId="BodyTextIndent3">
    <w:name w:val="Body Text Indent 3"/>
    <w:basedOn w:val="Normal"/>
    <w:semiHidden/>
    <w:pPr>
      <w:ind w:left="2160" w:hanging="7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35EB2"/>
    <w:rPr>
      <w:color w:val="0000FF"/>
      <w:u w:val="single"/>
    </w:rPr>
  </w:style>
  <w:style w:type="paragraph" w:customStyle="1" w:styleId="CM13">
    <w:name w:val="CM13"/>
    <w:basedOn w:val="Normal"/>
    <w:next w:val="Normal"/>
    <w:uiPriority w:val="99"/>
    <w:rsid w:val="002147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3A5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A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7C41"/>
  </w:style>
  <w:style w:type="paragraph" w:styleId="ListParagraph">
    <w:name w:val="List Paragraph"/>
    <w:basedOn w:val="Normal"/>
    <w:uiPriority w:val="34"/>
    <w:qFormat/>
    <w:rsid w:val="0073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licysearch.ama-assn.org/policyfinder/dethttps:/policysearch.ama-assn.org/policyfinder/detail/Equal%20Fees%20for%20Osteopathic%20and%20Allopathic%20Medical%20Students%20H-295.876?uri=%2FAMADoc%2FHOD.xml-0-2175.x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.UMA\Documents\0%20U%20M%20A\3%20HOD\0%202018\2017%20UMA%20HOD%20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0755306DE654B81C3B3CED13E9FFD" ma:contentTypeVersion="13" ma:contentTypeDescription="Create a new document." ma:contentTypeScope="" ma:versionID="4836226cfe85e99c60a4bcc0e25efebd">
  <xsd:schema xmlns:xsd="http://www.w3.org/2001/XMLSchema" xmlns:xs="http://www.w3.org/2001/XMLSchema" xmlns:p="http://schemas.microsoft.com/office/2006/metadata/properties" xmlns:ns3="967d8fb3-70ab-4ded-afba-34cb06e156b0" xmlns:ns4="a914b93c-3cbb-49fd-88f6-febe6a5cba80" targetNamespace="http://schemas.microsoft.com/office/2006/metadata/properties" ma:root="true" ma:fieldsID="d40a00ea6a30a29ca1fa1e2804487dd2" ns3:_="" ns4:_="">
    <xsd:import namespace="967d8fb3-70ab-4ded-afba-34cb06e156b0"/>
    <xsd:import namespace="a914b93c-3cbb-49fd-88f6-febe6a5cba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8fb3-70ab-4ded-afba-34cb06e1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b93c-3cbb-49fd-88f6-febe6a5cb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9F497-558E-4A6E-92CB-52D881AA3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675AD-3D00-4DFE-BE13-BDA6F6F28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AAF0C-D904-4361-9435-1011E924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8fb3-70ab-4ded-afba-34cb06e156b0"/>
    <ds:schemaRef ds:uri="a914b93c-3cbb-49fd-88f6-febe6a5cb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C:\Users\paige.UMA\Documents\0 U M A\3 HOD\0 2018\2017 UMA HOD resolution TEMPLATE.dotx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 HOD Resolution</vt:lpstr>
    </vt:vector>
  </TitlesOfParts>
  <Company>UMA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HOD Resolution</dc:title>
  <dc:creator>Paige DeMille</dc:creator>
  <cp:lastModifiedBy>Brown, Andy</cp:lastModifiedBy>
  <cp:revision>3</cp:revision>
  <cp:lastPrinted>2020-10-01T17:29:00Z</cp:lastPrinted>
  <dcterms:created xsi:type="dcterms:W3CDTF">2020-10-01T17:29:00Z</dcterms:created>
  <dcterms:modified xsi:type="dcterms:W3CDTF">2020-10-01T17:37:00Z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0x010100E1D0755306DE654B81C3B3CED13E9FFD</vt:lpwstr>
  </property>
</Properties>
</file>